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Smart Benue Initiative</w:t>
      </w:r>
    </w:p>
    <w:p>
      <w:pPr>
        <w:pStyle w:val="Subtitle"/>
      </w:pPr>
      <w:r>
        <w:t>Concept Note and Strategic Framework</w:t>
      </w:r>
    </w:p>
    <w:p>
      <w:r>
        <w:t>Integrated smart systems for inclusive development, economic growth and improved quality of life in Benue State</w:t>
      </w:r>
    </w:p>
    <w:p>
      <w:pPr>
        <w:pStyle w:val="Heading2"/>
      </w:pPr>
      <w:r>
        <w:t>Purpose of this document</w:t>
      </w:r>
    </w:p>
    <w:p>
      <w:r>
        <w:t>This document sets out the proposed direction, operating model and delivery priorities of the Smart Benue Initiative (SBI). It provides a common reference for CIE Benue State, prospective institutional partners, programme teams and website developers. Its central proposition is that better services and economic opportunities require connected institutions, workable processes, capable people and reliable infrastructure, supported by responsible use of technology and data.</w:t>
      </w:r>
    </w:p>
    <w:p>
      <w:pPr>
        <w:pStyle w:val="Heading2"/>
      </w:pPr>
      <w:r>
        <w:t>Strategic position</w:t>
      </w:r>
    </w:p>
    <w:p>
      <w:r>
        <w:t>SBI is positioned within Innovate Benue, the Benue State implementation of the Innovation for Employment and Economic Development in Nigeria (I-FEEDING) Initiative. It provides the smart systems agenda that supports public service improvement, enterprise productivity and inclusive development. The Benue State Smart Education Programme (Ben-SEP) is proposed as its first coordinated sector programme.</w:t>
      </w:r>
    </w:p>
    <w:p>
      <w:pPr>
        <w:pStyle w:val="Heading2"/>
      </w:pPr>
      <w:r>
        <w:t>Document status</w:t>
      </w:r>
    </w:p>
    <w:p>
      <w:r>
        <w:t>Version 1.0 • 8 October 2026 • Prepared for the Center for Innovation and Entrepreneurship (CIE), Benue State. Strategic proposal for institutional engagement and implementation planning.</w:t>
      </w:r>
    </w:p>
    <w:p>
      <w:r>
        <w:t>Proposed government roles, partnerships, financing and rollout milestones remain subject to the relevant agreements and approvals. Existing product development does not, by itself, establish government adoption, statewide operation or integration. Dates in the delivery roadmap run from programme activation, not from this document’s publication.</w:t>
      </w:r>
    </w:p>
    <w:p>
      <w:pPr>
        <w:pStyle w:val="Heading2"/>
      </w:pPr>
      <w:r>
        <w:t>Document guide</w:t>
      </w:r>
    </w:p>
    <w:p>
      <w:r>
        <w:t>Sections 1–2 present the concept and strategic relationships. Sections 3–11 set out the domains, architecture, governance, delivery plan and results framework. Sections 12–13 translate the strategy into a website brief and project record standard. Section 14 consolidates the cross-cutting enablers.</w:t>
      </w:r>
    </w:p>
    <w:p>
      <w:r>
        <w:br w:type="page"/>
      </w:r>
    </w:p>
    <w:p>
      <w:pPr>
        <w:pStyle w:val="Heading1"/>
      </w:pPr>
      <w:r>
        <w:t>1 Concept note</w:t>
      </w:r>
    </w:p>
    <w:p>
      <w:pPr>
        <w:pStyle w:val="Heading2"/>
      </w:pPr>
      <w:r>
        <w:t>Definition</w:t>
      </w:r>
    </w:p>
    <w:p>
      <w:r>
        <w:t>The Smart Benue Initiative is an integrated state systems transformation initiative promoted by CIE Benue State within Innovate Benue. It brings together institutions, service processes, people, infrastructure, technology and data to improve public services, strengthen productive economic activity and enhance quality of life across Benue State.</w:t>
      </w:r>
    </w:p>
    <w:p>
      <w:r>
        <w:t>A smart Benue is one in which residents and enterprises can access dependable services, institutions coordinate effectively, and decisions are informed by appropriate evidence. A service becomes smarter when it is easier to use, more reliable, more accountable and demonstrably better at meeting a real need.</w:t>
      </w:r>
    </w:p>
    <w:p>
      <w:pPr>
        <w:pStyle w:val="Heading2"/>
      </w:pPr>
      <w:r>
        <w:t>Rationale</w:t>
      </w:r>
    </w:p>
    <w:p>
      <w:r>
        <w:t>The supplied concept identifies fragmented service delivery, limited coordination, weak information flows, low productivity and uneven access to opportunity as the problems SBI should address. These are planning hypotheses to validate through institutional diagnostics, user research and baseline measurement. This framework does not attach unverified statistics to them.</w:t>
      </w:r>
    </w:p>
    <w:p>
      <w:r>
        <w:t>Standalone platforms can improve an individual task while leaving the wider service journey unchanged. A school may have a website but still lack dependable records, trained staff, reliable power or a process for resolving parent enquiries. SBI therefore links digital development with operating arrangements, institutional capacity and the resources needed to sustain daily use.</w:t>
      </w:r>
    </w:p>
    <w:p>
      <w:pPr>
        <w:pStyle w:val="Heading2"/>
      </w:pPr>
      <w:r>
        <w:t>Vision</w:t>
      </w:r>
    </w:p>
    <w:p>
      <w:r>
        <w:t>A smart, inclusive and resilient Benue State where connected systems expand economic opportunity, enable dependable public services and improve quality of life for all.</w:t>
      </w:r>
    </w:p>
    <w:p>
      <w:pPr>
        <w:pStyle w:val="Heading2"/>
      </w:pPr>
      <w:r>
        <w:t>Mission</w:t>
      </w:r>
    </w:p>
    <w:p>
      <w:r>
        <w:t>To coordinate the design, adoption and continuous improvement of integrated smart systems that strengthen institutions, support productive enterprise, develop human capability and deliver measurable benefits to the people of Benue State.</w:t>
      </w:r>
    </w:p>
    <w:p>
      <w:pPr>
        <w:pStyle w:val="Heading2"/>
      </w:pPr>
      <w:r>
        <w:t>Intended beneficiaries and coverage</w:t>
      </w:r>
    </w:p>
    <w:p>
      <w:r>
        <w:t>SBI is statewide in ambition, covering urban and rural communities through phased implementation. Priority users include learners and families, educators, farmers and cooperatives, entrepreneurs and workers, public institutions and local communities. Service design must include women, people with disabilities, low-income households and people facing connectivity, language or displacement-related barriers.</w:t>
      </w:r>
    </w:p>
    <w:p>
      <w:r>
        <w:br w:type="page"/>
      </w:r>
    </w:p>
    <w:p>
      <w:pPr>
        <w:pStyle w:val="Heading1"/>
      </w:pPr>
      <w:r>
        <w:t>2 Strategic relationships and boundaries</w:t>
      </w:r>
    </w:p>
    <w:tbl>
      <w:tblPr>
        <w:tblW w:type="auto" w:w="0"/>
        <w:tblLayout w:type="fixed"/>
        <w:tblLook w:firstColumn="1" w:firstRow="1" w:lastColumn="0" w:lastRow="0" w:noHBand="0" w:noVBand="1" w:val="04A0"/>
      </w:tblPr>
      <w:tblGrid>
        <w:gridCol w:w="2376"/>
        <w:gridCol w:w="7416"/>
      </w:tblGrid>
      <w:tr>
        <w:trPr>
          <w:cantSplit/>
          <w:tblHeader/>
        </w:trPr>
        <w:tc>
          <w:tcPr>
            <w:tcW w:type="dxa" w:w="2376"/>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Framework</w:t>
            </w:r>
          </w:p>
        </w:tc>
        <w:tc>
          <w:tcPr>
            <w:tcW w:type="dxa" w:w="7416"/>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Role within the proposed structure</w:t>
            </w:r>
          </w:p>
        </w:tc>
      </w:tr>
      <w:tr>
        <w:trPr>
          <w:cantSplit/>
        </w:trPr>
        <w:tc>
          <w:tcPr>
            <w:tcW w:type="dxa" w:w="237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I-FEEDING</w:t>
            </w:r>
          </w:p>
        </w:tc>
        <w:tc>
          <w:tcPr>
            <w:tcW w:type="dxa" w:w="741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National innovation, employment and economic development framework.</w:t>
            </w:r>
          </w:p>
        </w:tc>
      </w:tr>
      <w:tr>
        <w:trPr>
          <w:cantSplit/>
        </w:trPr>
        <w:tc>
          <w:tcPr>
            <w:tcW w:type="dxa" w:w="237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Innovate Benue</w:t>
            </w:r>
          </w:p>
        </w:tc>
        <w:tc>
          <w:tcPr>
            <w:tcW w:type="dxa" w:w="74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State implementation framework connecting enterprise, investment, skills, infrastructure and programmes.</w:t>
            </w:r>
          </w:p>
        </w:tc>
      </w:tr>
      <w:tr>
        <w:trPr>
          <w:cantSplit/>
        </w:trPr>
        <w:tc>
          <w:tcPr>
            <w:tcW w:type="dxa" w:w="237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Smart Benue Initiative</w:t>
            </w:r>
          </w:p>
        </w:tc>
        <w:tc>
          <w:tcPr>
            <w:tcW w:type="dxa" w:w="741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Integrated systems agenda within Innovate Benue, supporting economic and wider public service outcomes.</w:t>
            </w:r>
          </w:p>
        </w:tc>
      </w:tr>
      <w:tr>
        <w:trPr>
          <w:cantSplit/>
        </w:trPr>
        <w:tc>
          <w:tcPr>
            <w:tcW w:type="dxa" w:w="237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Benue-SPEED</w:t>
            </w:r>
          </w:p>
        </w:tc>
        <w:tc>
          <w:tcPr>
            <w:tcW w:type="dxa" w:w="74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Strategic Partnership for Employment and Economic Development; the proposed partnership architecture supporting implementation across the portfolio.</w:t>
            </w:r>
          </w:p>
        </w:tc>
      </w:tr>
      <w:tr>
        <w:trPr>
          <w:cantSplit/>
        </w:trPr>
        <w:tc>
          <w:tcPr>
            <w:tcW w:type="dxa" w:w="237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Ben-SEP</w:t>
            </w:r>
          </w:p>
        </w:tc>
        <w:tc>
          <w:tcPr>
            <w:tcW w:type="dxa" w:w="741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Education delivery programme within SBI, connecting education management, learning access, equipment, capacity and support.</w:t>
            </w:r>
          </w:p>
        </w:tc>
      </w:tr>
      <w:tr>
        <w:trPr>
          <w:cantSplit/>
        </w:trPr>
        <w:tc>
          <w:tcPr>
            <w:tcW w:type="dxa" w:w="237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Projects and platforms</w:t>
            </w:r>
          </w:p>
        </w:tc>
        <w:tc>
          <w:tcPr>
            <w:tcW w:type="dxa" w:w="741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Specific services, products and infrastructure deployed through accountable programme arrangements.</w:t>
            </w:r>
          </w:p>
        </w:tc>
      </w:tr>
    </w:tbl>
    <w:p>
      <w:pPr>
        <w:spacing w:after="20"/>
      </w:pPr>
    </w:p>
    <w:p>
      <w:r>
        <w:t>These relationships define a proposed operating structure, not a claim that government institutions have adopted it. Benue-SPEED supports collaboration across the portfolio; it is not an additional technology platform or a separate layer through which every citizen must pass.</w:t>
      </w:r>
    </w:p>
    <w:p>
      <w:pPr>
        <w:pStyle w:val="Heading2"/>
      </w:pPr>
      <w:r>
        <w:t>Scope of responsibility</w:t>
      </w:r>
    </w:p>
    <w:p>
      <w:r>
        <w:t>SBI sets common service and integration principles, coordinates priority programmes and monitors outcomes. Sector institutions retain their statutory functions. Platform operators remain responsible for the products and services assigned to them under contract. Economic programmes elsewhere in Innovate Benue retain ownership of their enterprise and employment interventions.</w:t>
      </w:r>
    </w:p>
    <w:p>
      <w:r>
        <w:t>Smart Benue supports the conditions for employment through more productive enterprises, better skills pathways and easier access to services. It should report its contribution without claiming that every job created across Innovate Benue was caused by SBI.</w:t>
      </w:r>
    </w:p>
    <w:p>
      <w:pPr>
        <w:pStyle w:val="Heading2"/>
      </w:pPr>
      <w:r>
        <w:t>What integration means</w:t>
      </w:r>
    </w:p>
    <w:p>
      <w:r>
        <w:t>Integration means that approved service journeys, responsibilities and information exchanges work together. It does not require every institution to use one application, one supplier or one database. Existing systems should be retained where they meet user needs and can participate safely in the agreed architecture.</w:t>
      </w:r>
    </w:p>
    <w:p>
      <w:r>
        <w:br w:type="page"/>
      </w:r>
    </w:p>
    <w:p>
      <w:pPr>
        <w:pStyle w:val="Heading1"/>
      </w:pPr>
      <w:r>
        <w:t>3 Objectives and strategic pillars</w:t>
      </w:r>
    </w:p>
    <w:p>
      <w:r>
        <w:t>SBI will establish a shared reference architecture; improve priority service journeys; strengthen institutional coordination; support enterprise productivity; expand access to education and skills; and develop an evidence-based approach to investment and continuous improvement.</w:t>
      </w:r>
    </w:p>
    <w:p>
      <w:r>
        <w:t>The seven pillars describe the outcomes sought. System domains describe where delivery occurs. Cross-cutting enablers describe the capabilities required. Each project should identify one primary outcome and any secondary contributions so that reporting remains clear.</w:t>
      </w:r>
    </w:p>
    <w:tbl>
      <w:tblPr>
        <w:tblW w:type="auto" w:w="0"/>
        <w:tblLayout w:type="fixed"/>
        <w:tblLook w:firstColumn="1" w:firstRow="1" w:lastColumn="0" w:lastRow="0" w:noHBand="0" w:noVBand="1" w:val="04A0"/>
      </w:tblPr>
      <w:tblGrid>
        <w:gridCol w:w="3096"/>
        <w:gridCol w:w="6696"/>
      </w:tblGrid>
      <w:tr>
        <w:trPr>
          <w:cantSplit/>
          <w:tblHeader/>
        </w:trPr>
        <w:tc>
          <w:tcPr>
            <w:tcW w:type="dxa" w:w="3096"/>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Strategic pillar</w:t>
            </w:r>
          </w:p>
        </w:tc>
        <w:tc>
          <w:tcPr>
            <w:tcW w:type="dxa" w:w="6696"/>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Intended change</w:t>
            </w:r>
          </w:p>
        </w:tc>
      </w:tr>
      <w:tr>
        <w:trPr>
          <w:cantSplit/>
        </w:trPr>
        <w:tc>
          <w:tcPr>
            <w:tcW w:type="dxa" w:w="30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Employment and inclusive economic growth</w:t>
            </w:r>
          </w:p>
        </w:tc>
        <w:tc>
          <w:tcPr>
            <w:tcW w:type="dxa" w:w="66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People and enterprises gain better access to productive work, business services and market opportunities.</w:t>
            </w:r>
          </w:p>
        </w:tc>
      </w:tr>
      <w:tr>
        <w:trPr>
          <w:cantSplit/>
        </w:trPr>
        <w:tc>
          <w:tcPr>
            <w:tcW w:type="dxa" w:w="309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Productivity and competitiveness</w:t>
            </w:r>
          </w:p>
        </w:tc>
        <w:tc>
          <w:tcPr>
            <w:tcW w:type="dxa" w:w="669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Participating organisations reduce avoidable delays, improve service or product quality and create more value.</w:t>
            </w:r>
          </w:p>
        </w:tc>
      </w:tr>
      <w:tr>
        <w:trPr>
          <w:cantSplit/>
        </w:trPr>
        <w:tc>
          <w:tcPr>
            <w:tcW w:type="dxa" w:w="30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Skills and human capital</w:t>
            </w:r>
          </w:p>
        </w:tc>
        <w:tc>
          <w:tcPr>
            <w:tcW w:type="dxa" w:w="66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Learners and workers access relevant education, practical skills and support for using technology effectively.</w:t>
            </w:r>
          </w:p>
        </w:tc>
      </w:tr>
      <w:tr>
        <w:trPr>
          <w:cantSplit/>
        </w:trPr>
        <w:tc>
          <w:tcPr>
            <w:tcW w:type="dxa" w:w="309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Responsive public services</w:t>
            </w:r>
          </w:p>
        </w:tc>
        <w:tc>
          <w:tcPr>
            <w:tcW w:type="dxa" w:w="669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Residents can understand, access and complete services, receive updates and obtain accountable resolution.</w:t>
            </w:r>
          </w:p>
        </w:tc>
      </w:tr>
      <w:tr>
        <w:trPr>
          <w:cantSplit/>
        </w:trPr>
        <w:tc>
          <w:tcPr>
            <w:tcW w:type="dxa" w:w="30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Safety and social stability</w:t>
            </w:r>
          </w:p>
        </w:tc>
        <w:tc>
          <w:tcPr>
            <w:tcW w:type="dxa" w:w="66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Authorised institutions coordinate prevention, preparedness and incident response while protecting people’s rights.</w:t>
            </w:r>
          </w:p>
        </w:tc>
      </w:tr>
      <w:tr>
        <w:trPr>
          <w:cantSplit/>
        </w:trPr>
        <w:tc>
          <w:tcPr>
            <w:tcW w:type="dxa" w:w="309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Sustainability and resilience</w:t>
            </w:r>
          </w:p>
        </w:tc>
        <w:tc>
          <w:tcPr>
            <w:tcW w:type="dxa" w:w="6696"/>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Services remain viable through financial, infrastructure and environmental disruptions.</w:t>
            </w:r>
          </w:p>
        </w:tc>
      </w:tr>
      <w:tr>
        <w:trPr>
          <w:cantSplit/>
        </w:trPr>
        <w:tc>
          <w:tcPr>
            <w:tcW w:type="dxa" w:w="30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Quality of life and inclusion</w:t>
            </w:r>
          </w:p>
        </w:tc>
        <w:tc>
          <w:tcPr>
            <w:tcW w:type="dxa" w:w="6696"/>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Benefits reach underserved groups and improve everyday experiences across communities.</w:t>
            </w:r>
          </w:p>
        </w:tc>
      </w:tr>
    </w:tbl>
    <w:p>
      <w:pPr>
        <w:spacing w:after="20"/>
      </w:pPr>
    </w:p>
    <w:p>
      <w:pPr>
        <w:pStyle w:val="Heading2"/>
      </w:pPr>
      <w:r>
        <w:t>Theory of change</w:t>
      </w:r>
    </w:p>
    <w:p>
      <w:r>
        <w:t>If institutions agree on service ownership, improve processes, equip staff and connect the necessary systems, then people can complete services more reliably and enterprises can operate more productively. Sustained use, adequate financing and responsive support can turn these service improvements into broader development benefits.</w:t>
      </w:r>
    </w:p>
    <w:p>
      <w:r>
        <w:t>This pathway depends on institutional participation, user trust, affordable access and reliable operations. Pilots must test these assumptions. Where adoption or outcomes remain weak, the response should be to redesign the service or stop expansion, even if the software functions correctly.</w:t>
      </w:r>
    </w:p>
    <w:p>
      <w:r>
        <w:br w:type="page"/>
      </w:r>
    </w:p>
    <w:p>
      <w:pPr>
        <w:pStyle w:val="Heading1"/>
      </w:pPr>
      <w:r>
        <w:t>4 Smart system domains</w:t>
      </w:r>
    </w:p>
    <w:p>
      <w:r>
        <w:t>The following ten domains organise the proposed portfolio. Enterprise and employment services are made explicit to connect the systems agenda with Innovate Benue’s economic purpose. Domains can share capabilities without requiring simultaneous launch.</w:t>
      </w:r>
    </w:p>
    <w:tbl>
      <w:tblPr>
        <w:tblW w:type="auto" w:w="0"/>
        <w:tblLayout w:type="fixed"/>
        <w:tblLook w:firstColumn="1" w:firstRow="1" w:lastColumn="0" w:lastRow="0" w:noHBand="0" w:noVBand="1" w:val="04A0"/>
      </w:tblPr>
      <w:tblGrid>
        <w:gridCol w:w="3024"/>
        <w:gridCol w:w="6768"/>
      </w:tblGrid>
      <w:tr>
        <w:trPr>
          <w:cantSplit/>
          <w:tblHeader/>
        </w:trPr>
        <w:tc>
          <w:tcPr>
            <w:tcW w:type="dxa" w:w="3024"/>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Domain</w:t>
            </w:r>
          </w:p>
        </w:tc>
        <w:tc>
          <w:tcPr>
            <w:tcW w:type="dxa" w:w="6768"/>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Priority service opportunities</w:t>
            </w:r>
          </w:p>
        </w:tc>
      </w:tr>
      <w:tr>
        <w:trPr>
          <w:cantSplit/>
        </w:trPr>
        <w:tc>
          <w:tcPr>
            <w:tcW w:type="dxa" w:w="3024"/>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Governance and public services</w:t>
            </w:r>
          </w:p>
        </w:tc>
        <w:tc>
          <w:tcPr>
            <w:tcW w:type="dxa" w:w="6768"/>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Service information, applications, case tracking, feedback, institutional workflows and authorised public reporting.</w:t>
            </w:r>
          </w:p>
        </w:tc>
      </w:tr>
      <w:tr>
        <w:trPr>
          <w:cantSplit/>
        </w:trPr>
        <w:tc>
          <w:tcPr>
            <w:tcW w:type="dxa" w:w="302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Education and human capital</w:t>
            </w:r>
          </w:p>
        </w:tc>
        <w:tc>
          <w:tcPr>
            <w:tcW w:type="dxa" w:w="6768"/>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School management, virtual learning, education records, digital access, educator capability and skills pathways.</w:t>
            </w:r>
          </w:p>
        </w:tc>
      </w:tr>
      <w:tr>
        <w:trPr>
          <w:cantSplit/>
        </w:trPr>
        <w:tc>
          <w:tcPr>
            <w:tcW w:type="dxa" w:w="3024"/>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Health and wellbeing</w:t>
            </w:r>
          </w:p>
        </w:tc>
        <w:tc>
          <w:tcPr>
            <w:tcW w:type="dxa" w:w="6768"/>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Facility information, appointment and referral coordination, authorised records and service planning.</w:t>
            </w:r>
          </w:p>
        </w:tc>
      </w:tr>
      <w:tr>
        <w:trPr>
          <w:cantSplit/>
        </w:trPr>
        <w:tc>
          <w:tcPr>
            <w:tcW w:type="dxa" w:w="302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Agriculture and agro-value systems</w:t>
            </w:r>
          </w:p>
        </w:tc>
        <w:tc>
          <w:tcPr>
            <w:tcW w:type="dxa" w:w="6768"/>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Extension access, farmer and cooperative services, market connections, traceability and logistics coordination.</w:t>
            </w:r>
          </w:p>
        </w:tc>
      </w:tr>
      <w:tr>
        <w:trPr>
          <w:cantSplit/>
        </w:trPr>
        <w:tc>
          <w:tcPr>
            <w:tcW w:type="dxa" w:w="3024"/>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Enterprise and employment</w:t>
            </w:r>
          </w:p>
        </w:tc>
        <w:tc>
          <w:tcPr>
            <w:tcW w:type="dxa" w:w="6768"/>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Business service navigation, opportunity discovery, employer-linked skills and enterprise support referrals.</w:t>
            </w:r>
          </w:p>
        </w:tc>
      </w:tr>
      <w:tr>
        <w:trPr>
          <w:cantSplit/>
        </w:trPr>
        <w:tc>
          <w:tcPr>
            <w:tcW w:type="dxa" w:w="302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Transport and logistics</w:t>
            </w:r>
          </w:p>
        </w:tc>
        <w:tc>
          <w:tcPr>
            <w:tcW w:type="dxa" w:w="6768"/>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Route and service information, fleet operations, goods movement and accountable transport service management.</w:t>
            </w:r>
          </w:p>
        </w:tc>
      </w:tr>
      <w:tr>
        <w:trPr>
          <w:cantSplit/>
        </w:trPr>
        <w:tc>
          <w:tcPr>
            <w:tcW w:type="dxa" w:w="3024"/>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Public safety and emergency coordination</w:t>
            </w:r>
          </w:p>
        </w:tc>
        <w:tc>
          <w:tcPr>
            <w:tcW w:type="dxa" w:w="6768"/>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Preparedness information, secure incident referral, emergency coordination and recovery support.</w:t>
            </w:r>
          </w:p>
        </w:tc>
      </w:tr>
      <w:tr>
        <w:trPr>
          <w:cantSplit/>
        </w:trPr>
        <w:tc>
          <w:tcPr>
            <w:tcW w:type="dxa" w:w="302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Product integrity and consumer safety</w:t>
            </w:r>
          </w:p>
        </w:tc>
        <w:tc>
          <w:tcPr>
            <w:tcW w:type="dxa" w:w="6768"/>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Product checks, traceability, consumer information and referral of concerns to competent bodies.</w:t>
            </w:r>
          </w:p>
        </w:tc>
      </w:tr>
      <w:tr>
        <w:trPr>
          <w:cantSplit/>
        </w:trPr>
        <w:tc>
          <w:tcPr>
            <w:tcW w:type="dxa" w:w="3024"/>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Energy utilities and environment</w:t>
            </w:r>
          </w:p>
        </w:tc>
        <w:tc>
          <w:tcPr>
            <w:tcW w:type="dxa" w:w="6768"/>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Facility energy reliability, maintenance, waste services, water access and environmental risk information.</w:t>
            </w:r>
          </w:p>
        </w:tc>
      </w:tr>
      <w:tr>
        <w:trPr>
          <w:cantSplit/>
        </w:trPr>
        <w:tc>
          <w:tcPr>
            <w:tcW w:type="dxa" w:w="3024"/>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Local government and community systems</w:t>
            </w:r>
          </w:p>
        </w:tc>
        <w:tc>
          <w:tcPr>
            <w:tcW w:type="dxa" w:w="6768"/>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Locally owned service workflows, community information, facility directories and feedback resolution.</w:t>
            </w:r>
          </w:p>
        </w:tc>
      </w:tr>
    </w:tbl>
    <w:p>
      <w:pPr>
        <w:spacing w:after="20"/>
      </w:pPr>
    </w:p>
    <w:p>
      <w:r>
        <w:t>Health, safety and other sensitive services require authorised sector leadership and appropriate professional oversight. SBI should not present itself as an emergency responder, regulator, clinical provider or enforcement authority unless a specific mandate and operating capability have been established.</w:t>
      </w:r>
    </w:p>
    <w:p>
      <w:r>
        <w:br w:type="page"/>
      </w:r>
    </w:p>
    <w:p>
      <w:pPr>
        <w:pStyle w:val="Heading1"/>
      </w:pPr>
      <w:r>
        <w:t>5 Benue State Smart Education Programme</w:t>
      </w:r>
    </w:p>
    <w:p>
      <w:r>
        <w:t>Ben-SEP is proposed as the first coordinated sector programme under SBI because education offers a practical setting for connecting existing product work with institutional adoption. Its purpose is to improve education administration, teaching, learning and access through a sustainable combination of systems, equipment, connectivity and human support.</w:t>
      </w:r>
    </w:p>
    <w:p>
      <w:pPr>
        <w:pStyle w:val="Heading2"/>
      </w:pPr>
      <w:r>
        <w:t>Programme components</w:t>
      </w:r>
    </w:p>
    <w:p>
      <w:r>
        <w:t>Education management: Benue SEMS should support participating institutions through verified school records, role-based administration, communication and appropriate reporting. School websites, portals and the planned unified SEMS mobile experience should form coherent user journeys. Production readiness, institutional authorisation and actual usage must be verified before describing a deployment as operational.</w:t>
      </w:r>
    </w:p>
    <w:p>
      <w:r>
        <w:t>Virtual learning: Benue Virtual Academy (BenVA) should provide an accessible route to primary and secondary learning aligned with the Nigerian curriculum, subject to educational review and the relevant arrangements. Digital learning must include learner support, child safeguarding and a clear relationship with participating schools. Claims about certification or recognised qualifications require separate confirmation.</w:t>
      </w:r>
    </w:p>
    <w:p>
      <w:r>
        <w:t>Access and equipment: teacher laptops, school digital laboratories, connectivity, power support and a one-laptop-per-family pathway should be developed as costed access schemes. Eligibility, affordability, ownership, warranties, repairs and replacement must be specified. These are proposed components, not commitments to free or universal equipment distribution.</w:t>
      </w:r>
    </w:p>
    <w:p>
      <w:r>
        <w:t>Capability and adoption: educators and administrators need practical training, coaching and ongoing help. Training should be linked to classroom and administrative tasks, with completion demonstrated through real use. Families and learners need clear onboarding and assisted access.</w:t>
      </w:r>
    </w:p>
    <w:p>
      <w:pPr>
        <w:pStyle w:val="Heading2"/>
      </w:pPr>
      <w:r>
        <w:t>Connection to ISEMS Cloud</w:t>
      </w:r>
    </w:p>
    <w:p>
      <w:r>
        <w:t>ISEMS Schools provides the primary and secondary management product context; the Virtual Academy System provides the virtual learning product context for BenVA. ISEMS–ITEMS and eCampus relate to tertiary management and learning and may support later, separately scoped extensions. The SBI website is a public programme entry point, while authorised platforms perform operational services.</w:t>
      </w:r>
    </w:p>
    <w:p>
      <w:pPr>
        <w:pStyle w:val="Heading2"/>
      </w:pPr>
      <w:r>
        <w:t>Initial pilot and expansion</w:t>
      </w:r>
    </w:p>
    <w:p>
      <w:r>
        <w:t>Select a manageable cohort of willing schools after readiness assessment. Include varied access conditions, establish school champions, test parent and learner journeys, and fund support throughout the pilot. Approve expansion only after evidence of use, data quality, service reliability and manageable support costs. Acedex International School may serve as a separately agreed demonstration setting; this does not establish public-sector endorsement.</w:t>
      </w:r>
    </w:p>
    <w:p>
      <w:r>
        <w:br w:type="page"/>
      </w:r>
    </w:p>
    <w:p>
      <w:pPr>
        <w:pStyle w:val="Heading1"/>
      </w:pPr>
      <w:r>
        <w:t>6 Portfolio activation and sequencing</w:t>
      </w:r>
    </w:p>
    <w:p>
      <w:r>
        <w:t>Prioritise using five questions: Is there a clear user need? Is an accountable institution willing to own the service? Is the solution ready enough to test? Are operating costs funded? Can a pilot produce credible evidence within a defined period? A high-profile concept should not bypass these tests.</w:t>
      </w:r>
    </w:p>
    <w:tbl>
      <w:tblPr>
        <w:tblW w:type="auto" w:w="0"/>
        <w:tblLayout w:type="fixed"/>
        <w:tblLook w:firstColumn="1" w:firstRow="1" w:lastColumn="0" w:lastRow="0" w:noHBand="0" w:noVBand="1" w:val="04A0"/>
      </w:tblPr>
      <w:tblGrid>
        <w:gridCol w:w="2880"/>
        <w:gridCol w:w="6912"/>
      </w:tblGrid>
      <w:tr>
        <w:trPr>
          <w:cantSplit/>
          <w:tblHeader/>
        </w:trPr>
        <w:tc>
          <w:tcPr>
            <w:tcW w:type="dxa" w:w="2880"/>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Workstream</w:t>
            </w:r>
          </w:p>
        </w:tc>
        <w:tc>
          <w:tcPr>
            <w:tcW w:type="dxa" w:w="6912"/>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Proposed treatment and next evidence</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Ben-SEP and Benue SEMS</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First sector activation candidate. Verify existing deployments, participating schools, access roles, support arrangements and baseline workflows.</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BenVA</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Coordinate with Ben-SEP. Confirm curriculum review, learner safeguarding, operating model and the distinction between public website and learning service.</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Citizen access and myBenueState</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Assess as a shared navigation and service discovery opportunity. Inventory available services before adding applications or personal records.</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Bena and assisted information</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Evaluate a bounded AI information assistant with approved sources, human escalation and measurable answer quality.</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Agriculture and enterprise services</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Define a small farmer, cooperative or business service pilot with a named operator and evidence of market demand.</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PIVERS and PIVA</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Explore product integrity services and consumer referrals through agreed participation. Confirm operator responsibilities and authoritative verification sources.</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Other system domains</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Maintain a discovery pipeline. Advance only when ownership, feasibility, safeguards and financing are established.</w:t>
            </w:r>
          </w:p>
        </w:tc>
      </w:tr>
    </w:tbl>
    <w:p>
      <w:pPr>
        <w:spacing w:after="20"/>
      </w:pPr>
    </w:p>
    <w:p>
      <w:pPr>
        <w:pStyle w:val="Heading2"/>
      </w:pPr>
      <w:r>
        <w:t>Readiness classification</w:t>
      </w:r>
    </w:p>
    <w:p>
      <w:r>
        <w:t>Use consistent stages: concept; discovery; development; pilot-ready; pilot; operational; scaling; paused or retired. “Pilot-ready” requires acceptance testing and funded support. “Operational” requires real users, an accountable operator and active service support. A published website alone is not an operational programme.</w:t>
      </w:r>
    </w:p>
    <w:p>
      <w:pPr>
        <w:pStyle w:val="Heading2"/>
      </w:pPr>
      <w:r>
        <w:t>Employment and enterprise connections</w:t>
      </w:r>
    </w:p>
    <w:p>
      <w:r>
        <w:t>Skill2Create and other appropriate ecosystem services can support relevant skills and enterprise pathways. Any connection to SkillRena, JobRena or related platforms should be recorded as an intended service relationship until access, ownership and integration are confirmed. Physical innovation centres and infrastructure proposals can support delivery where separately approved and resourced.</w:t>
      </w:r>
    </w:p>
    <w:p>
      <w:r>
        <w:br w:type="page"/>
      </w:r>
    </w:p>
    <w:p>
      <w:pPr>
        <w:pStyle w:val="Heading1"/>
      </w:pPr>
      <w:r>
        <w:t>7 Architecture and common capabilities</w:t>
      </w:r>
    </w:p>
    <w:p>
      <w:r>
        <w:t>The Smart Benue Architecture is a maintained set of service maps, responsibilities, data definitions, interface rules and operating requirements. Its purpose is to help independently managed systems work together without making the initiative dependent on one supplier or central database.</w:t>
      </w:r>
    </w:p>
    <w:tbl>
      <w:tblPr>
        <w:tblW w:type="auto" w:w="0"/>
        <w:tblLayout w:type="fixed"/>
        <w:tblLook w:firstColumn="1" w:firstRow="1" w:lastColumn="0" w:lastRow="0" w:noHBand="0" w:noVBand="1" w:val="04A0"/>
      </w:tblPr>
      <w:tblGrid>
        <w:gridCol w:w="2592"/>
        <w:gridCol w:w="7200"/>
      </w:tblGrid>
      <w:tr>
        <w:trPr>
          <w:cantSplit/>
          <w:tblHeader/>
        </w:trPr>
        <w:tc>
          <w:tcPr>
            <w:tcW w:type="dxa" w:w="2592"/>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Architecture layer</w:t>
            </w:r>
          </w:p>
        </w:tc>
        <w:tc>
          <w:tcPr>
            <w:tcW w:type="dxa" w:w="7200"/>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Required design decisions</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Public access</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Mobile-friendly website, clear service directory, accessible content and assisted or low-bandwidth options.</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Service workflows</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Named service owner, eligibility, steps, response expectations, escalation and completion criteria.</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Sector platforms</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Use appropriate existing products; document boundaries between public pages and authorised operational services.</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Shared capabilities</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Use identity federation, notifications, payments, document handling and case references where justified and agreed.</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Integration and data</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Document interfaces, approved data exchanges, common definitions, access controls and quality responsibilities.</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Operations and infrastructure</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Monitoring, support, backups, recovery, connectivity, power, supplier management and lifecycle costs.</w:t>
            </w:r>
          </w:p>
        </w:tc>
      </w:tr>
    </w:tbl>
    <w:p>
      <w:pPr>
        <w:spacing w:after="20"/>
      </w:pPr>
    </w:p>
    <w:p>
      <w:pPr>
        <w:pStyle w:val="Heading2"/>
      </w:pPr>
      <w:r>
        <w:t>Data stewardship</w:t>
      </w:r>
    </w:p>
    <w:p>
      <w:r>
        <w:t>Each service should record what information it needs, why it needs it, who controls it, who may access it, how long it is retained and how errors or complaints are resolved. Institutional data remains under the appropriate institution’s authority and agreed arrangements. Sharing must be purpose-specific and reviewed before activation; programme membership does not create unrestricted access.</w:t>
      </w:r>
    </w:p>
    <w:p>
      <w:pPr>
        <w:pStyle w:val="Heading2"/>
      </w:pPr>
      <w:r>
        <w:t>Responsible AI</w:t>
      </w:r>
    </w:p>
    <w:p>
      <w:r>
        <w:t>AI may support approved information search, drafting, translation, service routing and carefully evaluated analysis. Public answers should identify their source and provide human escalation. High-impact education, health, safety or benefit decisions require accountable human review. Sensitive records must not be placed into unapproved AI services. Test accuracy, language suitability and failure handling before deployment.</w:t>
      </w:r>
    </w:p>
    <w:p>
      <w:pPr>
        <w:pStyle w:val="Heading2"/>
      </w:pPr>
      <w:r>
        <w:t>Operational safeguards</w:t>
      </w:r>
    </w:p>
    <w:p>
      <w:r>
        <w:t>Apply least-privilege access, stronger authentication for privileged accounts, audit trails, protected backups and rehearsed incident procedures. Keep public reporting aggregated and avoid exposing children’s records or sensitive operational information. Translate applicable legal and sector requirements into verified service requirements before launch.</w:t>
      </w:r>
    </w:p>
    <w:p>
      <w:r>
        <w:br w:type="page"/>
      </w:r>
    </w:p>
    <w:p>
      <w:pPr>
        <w:pStyle w:val="Heading1"/>
      </w:pPr>
      <w:r>
        <w:t>8 Governance and partnership model</w:t>
      </w:r>
    </w:p>
    <w:p>
      <w:r>
        <w:t>CIE Benue State should convene preparation and coordinate the portfolio within its authority. Public-sector implementation requires participating institutions to agree their roles through appropriate instruments. A proposed structure is set out below; membership should follow confirmed participation.</w:t>
      </w:r>
    </w:p>
    <w:tbl>
      <w:tblPr>
        <w:tblW w:type="auto" w:w="0"/>
        <w:tblLayout w:type="fixed"/>
        <w:tblLook w:firstColumn="1" w:firstRow="1" w:lastColumn="0" w:lastRow="0" w:noHBand="0" w:noVBand="1" w:val="04A0"/>
      </w:tblPr>
      <w:tblGrid>
        <w:gridCol w:w="2880"/>
        <w:gridCol w:w="6912"/>
      </w:tblGrid>
      <w:tr>
        <w:trPr>
          <w:cantSplit/>
          <w:tblHeader/>
        </w:trPr>
        <w:tc>
          <w:tcPr>
            <w:tcW w:type="dxa" w:w="2880"/>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Body or role</w:t>
            </w:r>
          </w:p>
        </w:tc>
        <w:tc>
          <w:tcPr>
            <w:tcW w:type="dxa" w:w="6912"/>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Accountability</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Strategic steering group</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Agree priorities, review outcomes, resolve cross-institutional issues and approve stage progression within delegated authority.</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SBI coordination secretariat</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Maintain the roadmap, project register, dependencies, risk log, evidence records and partner reporting.</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Sector programme owner</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Own the service outcome, institutional adoption, business processes and programme operating budget.</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Architecture and assurance function</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Review integration, security, privacy, accessibility and operational readiness before release or expansion.</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Platform or infrastructure operator</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Deliver contracted services, maintain systems, support users and report incidents and performance.</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Community and user representatives</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Test usability, surface exclusion and provide structured feedback on actual service experience.</w:t>
            </w:r>
          </w:p>
        </w:tc>
      </w:tr>
    </w:tbl>
    <w:p>
      <w:pPr>
        <w:spacing w:after="20"/>
      </w:pPr>
    </w:p>
    <w:p>
      <w:pPr>
        <w:pStyle w:val="Heading2"/>
      </w:pPr>
      <w:r>
        <w:t>Decision rights and cadence</w:t>
      </w:r>
    </w:p>
    <w:p>
      <w:r>
        <w:t>Service owners approve business processes and acceptance criteria. Authorised data custodians approve information access. Technical assurance reviews readiness; the steering group decides portfolio funding and expansion within its mandate. The secretariat should run monthly delivery reviews and prepare quarterly strategic reviews. Serious incidents require immediate escalation through agreed operating procedures.</w:t>
      </w:r>
    </w:p>
    <w:p>
      <w:pPr>
        <w:pStyle w:val="Heading2"/>
      </w:pPr>
      <w:r>
        <w:t>Partnership instruments</w:t>
      </w:r>
    </w:p>
    <w:p>
      <w:r>
        <w:t>Partnerships should define scope, responsibilities, contribution commitments, ownership and licensing, service levels, information handling, dispute escalation and exit arrangements. Use project-specific agreements for operational services rather than relying on a broad expression of collaboration. Partner logos and public claims require confirmed permission and accurate descriptions.</w:t>
      </w:r>
    </w:p>
    <w:p>
      <w:pPr>
        <w:pStyle w:val="Heading2"/>
      </w:pPr>
      <w:r>
        <w:t>Public interest and commercial delivery</w:t>
      </w:r>
    </w:p>
    <w:p>
      <w:r>
        <w:t>Where CIE Global Ventures or another commercial entity is proposed as an operator, investor or supplier, disclose that role and manage related-party interests. Separate programme coordination from purchasing and assurance decisions. The framework does not assign public contracts or transfer institutional assets or data rights.</w:t>
      </w:r>
    </w:p>
    <w:p>
      <w:r>
        <w:br w:type="page"/>
      </w:r>
    </w:p>
    <w:p>
      <w:pPr>
        <w:pStyle w:val="Heading1"/>
      </w:pPr>
      <w:r>
        <w:t>9 Funding and long term operation</w:t>
      </w:r>
    </w:p>
    <w:p>
      <w:r>
        <w:t>Each programme needs a costed operating model before rollout. Development funding can produce a platform; recurring resources are required to keep it useful. Programme budgets should distinguish shared SBI coordination costs from the cost of each service and institution’s adoption.</w:t>
      </w:r>
    </w:p>
    <w:p>
      <w:pPr>
        <w:pStyle w:val="Heading2"/>
      </w:pPr>
      <w:r>
        <w:t>Cost categories</w:t>
      </w:r>
    </w:p>
    <w:p>
      <w:r>
        <w:t>Budget for discovery and service redesign; software and integration; equipment and installation; power and connectivity; content preparation; training and change support; hosting and licences; user support and maintenance; safeguarding and assurance; monitoring; replacements and eventual migration. Compare options over a multi-year operating period, including foreign-exchange exposure where relevant.</w:t>
      </w:r>
    </w:p>
    <w:p>
      <w:pPr>
        <w:pStyle w:val="Heading2"/>
      </w:pPr>
      <w:r>
        <w:t>Potential funding sources</w:t>
      </w:r>
    </w:p>
    <w:p>
      <w:r>
        <w:t>Possible sources include approved institutional budgets, grants and technical assistance, private investment in commercially viable services, sponsorship of access programmes, transparent subscriptions and appropriately structured public–private arrangements. Each source is an option for appraisal, not a secured commitment. Essential public services should not become inaccessible because a digital channel has introduced unaffordable charges.</w:t>
      </w:r>
    </w:p>
    <w:p>
      <w:pPr>
        <w:pStyle w:val="Heading2"/>
      </w:pPr>
      <w:r>
        <w:t>Programme business case</w:t>
      </w:r>
    </w:p>
    <w:p>
      <w:r>
        <w:t>Every proposal should state the beneficiary need, delivery alternatives, expected service volumes, unit costs, funding source, affordability provisions and responsible payer. The business case must identify who funds support after pilot grants end. Equipment schemes require clear terms for finance, maintenance, repossession where applicable, and end-of-life management before enrolment.</w:t>
      </w:r>
    </w:p>
    <w:p>
      <w:pPr>
        <w:pStyle w:val="Heading2"/>
      </w:pPr>
      <w:r>
        <w:t>Procurement and supplier continuity</w:t>
      </w:r>
    </w:p>
    <w:p>
      <w:r>
        <w:t>Evaluate suppliers on fitness for the service, demonstrated capability, support capacity, interoperability and total cost. Agreements should provide usable data exports, documentation, transition support and clarity over intellectual property. Maintain an exit plan so that a supplier change does not strand institutional records or interrupt essential services.</w:t>
      </w:r>
    </w:p>
    <w:p>
      <w:pPr>
        <w:pStyle w:val="Heading2"/>
      </w:pPr>
      <w:r>
        <w:t>Investment mobilisation</w:t>
      </w:r>
    </w:p>
    <w:p>
      <w:r>
        <w:t>Prepare a small number of evidence-backed programme briefs showing the problem, accountable partners, validated demand, delivery model and funding gap. Use pilot results to strengthen partner discussions. Record funds as proposed, pledged, contracted or received; do not combine these categories into a single investment total.</w:t>
      </w:r>
    </w:p>
    <w:p>
      <w:r>
        <w:br w:type="page"/>
      </w:r>
    </w:p>
    <w:p>
      <w:pPr>
        <w:pStyle w:val="Heading1"/>
      </w:pPr>
      <w:r>
        <w:t>10 Implementation roadmap</w:t>
      </w:r>
    </w:p>
    <w:p>
      <w:r>
        <w:t>The following sequence is indicative. Timings begin when an accountable sponsor, participating service owners and preparation resources are in place. Stages may overlap, but expansion depends on evidence and funded operations.</w:t>
      </w:r>
    </w:p>
    <w:tbl>
      <w:tblPr>
        <w:tblW w:type="auto" w:w="0"/>
        <w:tblLayout w:type="fixed"/>
        <w:tblLook w:firstColumn="1" w:firstRow="1" w:lastColumn="0" w:lastRow="0" w:noHBand="0" w:noVBand="1" w:val="04A0"/>
      </w:tblPr>
      <w:tblGrid>
        <w:gridCol w:w="2592"/>
        <w:gridCol w:w="7200"/>
      </w:tblGrid>
      <w:tr>
        <w:trPr>
          <w:cantSplit/>
          <w:tblHeader/>
        </w:trPr>
        <w:tc>
          <w:tcPr>
            <w:tcW w:type="dxa" w:w="2592"/>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Stage</w:t>
            </w:r>
          </w:p>
        </w:tc>
        <w:tc>
          <w:tcPr>
            <w:tcW w:type="dxa" w:w="7200"/>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Deliverables and progression gate</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Foundation</w:t>
              <w:br/>
              <w:t>First 90 days</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Confirm scope and coordination roles; inventory systems and agreements; consult users; set baselines; select the first education cohort; prepare costed pilot plans. Gate: named owner, readiness evidence and funded pilot.</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Controlled pilots</w:t>
              <w:br/>
              <w:t>Months 4 to 9</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Operate Ben-SEP components with selected institutions; validate onboarding, data quality and support; test bounded shared services. Gate: demonstrated sustained use, resolved critical issues and acceptable unit costs.</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Selective expansion</w:t>
              <w:br/>
              <w:t>Months 10 to 18</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Expand successful education services and activate one or two other ready domains. Gate: institutional capacity, reliable operations, affordable access and verified benefits.</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Consolidation</w:t>
              <w:br/>
              <w:t>Months 19 to 36</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Strengthen integration, resilience and local delivery capacity; review outcomes independently; revise portfolio. Gate: durable funding, measured improvement and an approved next cycle.</w:t>
            </w:r>
          </w:p>
        </w:tc>
      </w:tr>
    </w:tbl>
    <w:p>
      <w:pPr>
        <w:spacing w:after="20"/>
      </w:pPr>
    </w:p>
    <w:p>
      <w:pPr>
        <w:pStyle w:val="Heading2"/>
      </w:pPr>
      <w:r>
        <w:t>First 90 day work programme</w:t>
      </w:r>
    </w:p>
    <w:p>
      <w:r>
        <w:t>Days 1–30: establish the working register; confirm institutional contacts; review existing Benue SEMS, BenVA and related work; document actual readiness; undertake user and school needs assessment. Deliver a baseline and a clear list of unresolved assumptions.</w:t>
      </w:r>
    </w:p>
    <w:p>
      <w:r>
        <w:t>Days 31–60: agree the pilot service journey, institutional responsibilities, costs, inclusion measures and support model. Prepare the reference architecture and programme briefs. Draft the website from verified records and prepare approved public descriptions.</w:t>
      </w:r>
    </w:p>
    <w:p>
      <w:r>
        <w:t>Days 61–90: complete acceptance testing, train operators and school champions, rehearse support and recovery, and authorise the pilot where requirements are met. Publish the information website with truthful readiness labels. Start operational services only when their own gates are satisfied.</w:t>
      </w:r>
    </w:p>
    <w:p>
      <w:pPr>
        <w:pStyle w:val="Heading2"/>
      </w:pPr>
      <w:r>
        <w:t>Release discipline</w:t>
      </w:r>
    </w:p>
    <w:p>
      <w:r>
        <w:t>A pilot must have a named owner, agreed participant cohort, tested user journeys, necessary authorisations, support contacts, safeguarding arrangements, baseline measures and a rollback plan. Record the decision and remaining limitations. Delay any unsafe or unsupported function without preventing ready informational content from being published.</w:t>
      </w:r>
    </w:p>
    <w:p>
      <w:r>
        <w:br w:type="page"/>
      </w:r>
    </w:p>
    <w:p>
      <w:pPr>
        <w:pStyle w:val="Heading1"/>
      </w:pPr>
      <w:r>
        <w:t>11 Results learning and risk management</w:t>
      </w:r>
    </w:p>
    <w:p>
      <w:r>
        <w:t>Measure service improvement and sustained adoption, then assess contribution to wider development. The coordination secretariat should maintain a results dictionary with definitions, denominators, sources and reporting dates. Establish baselines before setting numerical impact targets; this framework makes no statewide jobs or reach commitments.</w:t>
      </w:r>
    </w:p>
    <w:tbl>
      <w:tblPr>
        <w:tblW w:type="auto" w:w="0"/>
        <w:tblLayout w:type="fixed"/>
        <w:tblLook w:firstColumn="1" w:firstRow="1" w:lastColumn="0" w:lastRow="0" w:noHBand="0" w:noVBand="1" w:val="04A0"/>
      </w:tblPr>
      <w:tblGrid>
        <w:gridCol w:w="2880"/>
        <w:gridCol w:w="6912"/>
      </w:tblGrid>
      <w:tr>
        <w:trPr>
          <w:cantSplit/>
          <w:tblHeader/>
        </w:trPr>
        <w:tc>
          <w:tcPr>
            <w:tcW w:type="dxa" w:w="2880"/>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Indicator</w:t>
            </w:r>
          </w:p>
        </w:tc>
        <w:tc>
          <w:tcPr>
            <w:tcW w:type="dxa" w:w="6912"/>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Measurement and owner</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Sustained adoption</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Active participating institutions divided by onboarded institutions, using a defined meaningful activity window. Programme owner; monthly.</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Service completion</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Completed eligible requests divided by requests initiated in a defined cohort. Service owner; monthly.</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Time and cost to users</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Median completion time and sampled user cost compared with baseline. Monitoring lead; quarterly.</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Education usage and value</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Verified staff and learner use; administrative time saved; appropriately assessed learning evidence. Ben-SEP lead; each term.</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Reliability and support</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Availability during agreed service hours; incident recovery; resolution within service targets. Operator; monthly.</w:t>
            </w:r>
          </w:p>
        </w:tc>
      </w:tr>
      <w:tr>
        <w:trPr>
          <w:cantSplit/>
        </w:trPr>
        <w:tc>
          <w:tcPr>
            <w:tcW w:type="dxa" w:w="288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Inclusion and experience</w:t>
            </w:r>
          </w:p>
        </w:tc>
        <w:tc>
          <w:tcPr>
            <w:tcW w:type="dxa" w:w="691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Reach and satisfaction by appropriate demographic and location groups, with privacy safeguards. Monitoring lead; quarterly.</w:t>
            </w:r>
          </w:p>
        </w:tc>
      </w:tr>
      <w:tr>
        <w:trPr>
          <w:cantSplit/>
        </w:trPr>
        <w:tc>
          <w:tcPr>
            <w:tcW w:type="dxa" w:w="288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Economic contribution</w:t>
            </w:r>
          </w:p>
        </w:tc>
        <w:tc>
          <w:tcPr>
            <w:tcW w:type="dxa" w:w="691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Verified enterprise benefits and employment outcomes with follow-up and attribution limits. Economic programme lead; periodically.</w:t>
            </w:r>
          </w:p>
        </w:tc>
      </w:tr>
    </w:tbl>
    <w:p>
      <w:pPr>
        <w:spacing w:after="20"/>
      </w:pPr>
    </w:p>
    <w:p>
      <w:pPr>
        <w:pStyle w:val="Heading2"/>
      </w:pPr>
      <w:r>
        <w:t>Avoid double counting</w:t>
      </w:r>
    </w:p>
    <w:p>
      <w:r>
        <w:t>Report unique institutions separately from service transactions. Distinguish registered, onboarded and active users. Separate people trained from people gaining verified work. Maintain an agreed reconciliation process across programmes and use privacy-preserving reporting. Publish aggregate results with dates, scope and limitations.</w:t>
      </w:r>
    </w:p>
    <w:p>
      <w:pPr>
        <w:pStyle w:val="Heading2"/>
      </w:pPr>
      <w:r>
        <w:t>Principal risks and responses</w:t>
      </w:r>
    </w:p>
    <w:p>
      <w:r>
        <w:t>Weak institutional ownership: secure a named owner and review participation before funding. Poor adoption: involve users early and fund hands-on support. Connectivity or power failure: design low-bandwidth and assisted pathways with continuity arrangements. Funding gaps: phase commitments against secured operating resources.</w:t>
      </w:r>
    </w:p>
    <w:p>
      <w:r>
        <w:t>Data misuse or cyber incidents: restrict access, test recovery and maintain an incident owner. Exclusion: monitor who is not using services and provide accessible alternatives. Supplier dependence: require exports and transition arrangements. Overclaiming: require evidence review before publishing partnerships, service readiness or impact. The secretariat should assign an owner and review date to every material risk.</w:t>
      </w:r>
    </w:p>
    <w:p>
      <w:r>
        <w:br w:type="page"/>
      </w:r>
    </w:p>
    <w:p>
      <w:pPr>
        <w:pStyle w:val="Heading1"/>
      </w:pPr>
      <w:r>
        <w:t>12 Website strategy and information structure</w:t>
      </w:r>
    </w:p>
    <w:p>
      <w:r>
        <w:t>The proposed public address is sb.innovatebenue.ng. It should explain SBI, demonstrate credible progress, help people find available services and attract suitable participation. Retain an overview at innovatebenue.ng/smart-benue linking to the sub-site. These are proposed addresses, not a statement that the subdomain is already configured.</w:t>
      </w:r>
    </w:p>
    <w:tbl>
      <w:tblPr>
        <w:tblW w:type="auto" w:w="0"/>
        <w:tblLayout w:type="fixed"/>
        <w:tblLook w:firstColumn="1" w:firstRow="1" w:lastColumn="0" w:lastRow="0" w:noHBand="0" w:noVBand="1" w:val="04A0"/>
      </w:tblPr>
      <w:tblGrid>
        <w:gridCol w:w="2592"/>
        <w:gridCol w:w="7200"/>
      </w:tblGrid>
      <w:tr>
        <w:trPr>
          <w:cantSplit/>
          <w:tblHeader/>
        </w:trPr>
        <w:tc>
          <w:tcPr>
            <w:tcW w:type="dxa" w:w="2592"/>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Website area</w:t>
            </w:r>
          </w:p>
        </w:tc>
        <w:tc>
          <w:tcPr>
            <w:tcW w:type="dxa" w:w="7200"/>
            <w:tcBorders>
              <w:top w:val="single" w:sz="4" w:color="D9D9D9"/>
              <w:left w:val="single" w:sz="4" w:color="D9D9D9"/>
              <w:bottom w:val="single" w:sz="4" w:color="D9D9D9"/>
              <w:right w:val="single" w:sz="4" w:color="D9D9D9"/>
            </w:tcBorders>
            <w:shd w:fill="193C4A"/>
            <w:tcMar>
              <w:top w:w="90" w:type="dxa"/>
              <w:left w:w="90" w:type="dxa"/>
              <w:bottom w:w="90" w:type="dxa"/>
              <w:right w:w="90" w:type="dxa"/>
            </w:tcMar>
          </w:tcPr>
          <w:p>
            <w:pPr>
              <w:spacing w:after="60" w:line="245" w:lineRule="auto"/>
            </w:pPr>
            <w:r>
              <w:rPr>
                <w:b/>
                <w:color w:val="FFFFFF"/>
                <w:sz w:val="20"/>
              </w:rPr>
              <w:t>Content and visitor purpose</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About Smart Benue</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Definition, rationale, vision, strategic relationships and confirmed coordination arrangements.</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Focus areas</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The ten domains, expressed through everyday needs and practical service opportunities.</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Programmes and projects</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Ben-SEP as the priority programme; individual project records with readiness and next actions.</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Services</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Verified links to available platforms, with eligibility, operator and support information.</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Progress and impact</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Dated milestones and measured results with sources and scope.</w:t>
            </w:r>
          </w:p>
        </w:tc>
      </w:tr>
      <w:tr>
        <w:trPr>
          <w:cantSplit/>
        </w:trPr>
        <w:tc>
          <w:tcPr>
            <w:tcW w:type="dxa" w:w="2592"/>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Resources</w:t>
            </w:r>
          </w:p>
        </w:tc>
        <w:tc>
          <w:tcPr>
            <w:tcW w:type="dxa" w:w="7200"/>
            <w:tcBorders>
              <w:top w:val="single" w:sz="4" w:color="D9D9D9"/>
              <w:left w:val="single" w:sz="4" w:color="D9D9D9"/>
              <w:bottom w:val="single" w:sz="4" w:color="D9D9D9"/>
              <w:right w:val="single" w:sz="4" w:color="D9D9D9"/>
            </w:tcBorders>
            <w:shd w:fill="FFFFFF"/>
            <w:tcMar>
              <w:top w:w="90" w:type="dxa"/>
              <w:left w:w="90" w:type="dxa"/>
              <w:bottom w:w="90" w:type="dxa"/>
              <w:right w:w="90" w:type="dxa"/>
            </w:tcMar>
          </w:tcPr>
          <w:p>
            <w:pPr>
              <w:spacing w:after="60" w:line="245" w:lineRule="auto"/>
            </w:pPr>
            <w:r>
              <w:rPr>
                <w:sz w:val="20"/>
              </w:rPr>
              <w:t>Framework, approved briefs, implementation guidance, news and useful public information.</w:t>
            </w:r>
          </w:p>
        </w:tc>
      </w:tr>
      <w:tr>
        <w:trPr>
          <w:cantSplit/>
        </w:trPr>
        <w:tc>
          <w:tcPr>
            <w:tcW w:type="dxa" w:w="2592"/>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Get involved</w:t>
            </w:r>
          </w:p>
        </w:tc>
        <w:tc>
          <w:tcPr>
            <w:tcW w:type="dxa" w:w="7200"/>
            <w:tcBorders>
              <w:top w:val="single" w:sz="4" w:color="D9D9D9"/>
              <w:left w:val="single" w:sz="4" w:color="D9D9D9"/>
              <w:bottom w:val="single" w:sz="4" w:color="D9D9D9"/>
              <w:right w:val="single" w:sz="4" w:color="D9D9D9"/>
            </w:tcBorders>
            <w:shd w:fill="F1F5F6"/>
            <w:tcMar>
              <w:top w:w="90" w:type="dxa"/>
              <w:left w:w="90" w:type="dxa"/>
              <w:bottom w:w="90" w:type="dxa"/>
              <w:right w:w="90" w:type="dxa"/>
            </w:tcMar>
          </w:tcPr>
          <w:p>
            <w:pPr>
              <w:spacing w:after="60" w:line="245" w:lineRule="auto"/>
            </w:pPr>
            <w:r>
              <w:rPr>
                <w:sz w:val="20"/>
              </w:rPr>
              <w:t>Separate pathways for institutions, schools, technology partners, funders and community participants.</w:t>
            </w:r>
          </w:p>
        </w:tc>
      </w:tr>
    </w:tbl>
    <w:p>
      <w:pPr>
        <w:spacing w:after="20"/>
      </w:pPr>
    </w:p>
    <w:p>
      <w:pPr>
        <w:pStyle w:val="Heading2"/>
      </w:pPr>
      <w:r>
        <w:t>Homepage content direction</w:t>
      </w:r>
    </w:p>
    <w:p>
      <w:r>
        <w:t>Eyebrow: Smart Benue Initiative. Headline: Connected systems. Better services. Greater opportunities. Supporting text: Bringing institutions, people and technology together to improve public services, strengthen economic opportunity and enhance everyday life across Benue State.</w:t>
      </w:r>
    </w:p>
    <w:p>
      <w:r>
        <w:t>Primary action: Explore our programmes. Secondary action: Partner with Smart Benue. Follow with a concise explanation, priority Ben-SEP feature, focus areas, verified project progress, participation routes and recent updates. Use authentic Benue-relevant imagery, clear typography, restrained animation and mobile-first layouts.</w:t>
      </w:r>
    </w:p>
    <w:p>
      <w:pPr>
        <w:pStyle w:val="Heading2"/>
      </w:pPr>
      <w:r>
        <w:t>Relationship to operational platforms</w:t>
      </w:r>
    </w:p>
    <w:p>
      <w:r>
        <w:t>The public website should direct users to working services and explain who operates them. It should not introduce a general sign-in or collect school, health or identity records simply to appear integrated. Ben-SEP can initially have a substantial section at /programmes/ben-sep. Programme content should link to verified SEMS and BenVA destinations when ready.</w:t>
      </w:r>
    </w:p>
    <w:p>
      <w:r>
        <w:br w:type="page"/>
      </w:r>
    </w:p>
    <w:p>
      <w:pPr>
        <w:pStyle w:val="Heading1"/>
      </w:pPr>
      <w:r>
        <w:t>13 Website delivery and project records</w:t>
      </w:r>
    </w:p>
    <w:p>
      <w:pPr>
        <w:pStyle w:val="Heading2"/>
      </w:pPr>
      <w:r>
        <w:t>Required project record</w:t>
      </w:r>
    </w:p>
    <w:p>
      <w:r>
        <w:t>Maintain one approved record for each programme and project. It should contain: official name; plain-language purpose; primary users; domain; accountable owner; delivery operator; readiness stage; geographic and institutional coverage; service link if available; eligibility and costs where relevant; support route; evidence of progress; next milestone; and last reviewed date.</w:t>
      </w:r>
    </w:p>
    <w:p>
      <w:pPr>
        <w:pStyle w:val="Heading2"/>
      </w:pPr>
      <w:r>
        <w:t>Publication controls</w:t>
      </w:r>
    </w:p>
    <w:p>
      <w:r>
        <w:t>A project owner supplies evidence, the secretariat checks consistency and the designated editor approves publication. Confirm government participation and partner permission before displaying names or logos. Publish programme ambitions as ambitions. Where operational scope is limited, state the participating cohort or area instead of implying statewide availability.</w:t>
      </w:r>
    </w:p>
    <w:p>
      <w:r>
        <w:t>Use aggregate progress information on public pages. Do not publish identifiable student records, personal complaints, unverified allegations or sensitive infrastructure details. Set review dates for service links and remove or relabel broken, retired or paused services promptly.</w:t>
      </w:r>
    </w:p>
    <w:p>
      <w:pPr>
        <w:pStyle w:val="Heading2"/>
      </w:pPr>
      <w:r>
        <w:t>Website acceptance criteria</w:t>
      </w:r>
    </w:p>
    <w:p>
      <w:r>
        <w:t>Before launch, verify that navigation works on small screens, content is readable with assistive technologies, forms reach the designated team, privacy notices match actual collection, service links reach their intended destinations and every project has an accurate readiness label. Test slow connections, keyboard access and enquiry acknowledgement. Establish an editor and a maintenance schedule.</w:t>
      </w:r>
    </w:p>
    <w:p>
      <w:pPr>
        <w:pStyle w:val="Heading2"/>
      </w:pPr>
      <w:r>
        <w:t>Immediate decisions enabled by this framework</w:t>
      </w:r>
    </w:p>
    <w:p>
      <w:r>
        <w:t>Adopt the proposed strategic relationships as the working model; confirm the first Ben-SEP discovery and pilot scope; appoint coordination and service owners within existing authority; complete the portfolio readiness register; and use this framework to prepare website content and programme business cases. Additional institutional commitments should be documented before they are presented publicly.</w:t>
      </w:r>
    </w:p>
    <w:p>
      <w:pPr>
        <w:pStyle w:val="Heading2"/>
      </w:pPr>
      <w:r>
        <w:t>Source and interpretation note</w:t>
      </w:r>
    </w:p>
    <w:p>
      <w:r>
        <w:t>This document develops the Smart Benue draft supplied for this task and draws on the existing Innovate Benue Initiative Strategic Framework, including its positioning of SBI within the state implementation architecture. Related project names and directions reflect the user’s stated portfolio context. They are not an independent audit of platform capabilities or institutional agreements.</w:t>
      </w:r>
    </w:p>
    <w:p>
      <w:r>
        <w:t>The earlier Innovate Benue framework contains historical implementation periods, partnership wording and ambitious numerical targets. These have not been carried forward as verified commitments. This SBI framework uses activation-relative milestones, proposed governance arrangements and baseline-led target setting. Product status, legal requirements, budgets and partner participation must be verified during programme preparation.</w:t>
      </w:r>
    </w:p>
    <w:p>
      <w:r>
        <w:br w:type="page"/>
      </w:r>
    </w:p>
    <w:p>
      <w:pPr>
        <w:pStyle w:val="Heading1"/>
      </w:pPr>
      <w:r>
        <w:t>14 Cross cutting enablers</w:t>
      </w:r>
    </w:p>
    <w:p>
      <w:r>
        <w:t>These capabilities support every system domain. Programme plans should identify the responsible lead, required resources and evidence of readiness for each applicable enabler.</w:t>
      </w:r>
    </w:p>
    <w:p>
      <w:pPr>
        <w:pStyle w:val="Heading2"/>
      </w:pPr>
      <w:r>
        <w:t>Digital transformation and interoperability</w:t>
      </w:r>
    </w:p>
    <w:p>
      <w:r>
        <w:t>Map the complete service journey before procuring technology. Simplify unnecessary steps, document interfaces and common definitions, and test exchanges between participating systems. The architecture function maintains the shared reference; service owners remain accountable for the user experience.</w:t>
      </w:r>
    </w:p>
    <w:p>
      <w:pPr>
        <w:pStyle w:val="Heading2"/>
      </w:pPr>
      <w:r>
        <w:t>Policy and institutional alignment</w:t>
      </w:r>
    </w:p>
    <w:p>
      <w:r>
        <w:t>Confirm institutional mandates and identify the permissions and agreements needed for each service. Assign responsibility for resolving policy or process barriers. Obtain qualified review of applicable requirements before operational launch and update arrangements when scope changes.</w:t>
      </w:r>
    </w:p>
    <w:p>
      <w:pPr>
        <w:pStyle w:val="Heading2"/>
      </w:pPr>
      <w:r>
        <w:t>Data quality and decision intelligence</w:t>
      </w:r>
    </w:p>
    <w:p>
      <w:r>
        <w:t>Assign data stewards, establish baseline measures and agree reporting definitions. Build analysis around decisions that institutions need to make. Review completeness and accuracy before using dashboards to allocate resources or claim results.</w:t>
      </w:r>
    </w:p>
    <w:p>
      <w:pPr>
        <w:pStyle w:val="Heading2"/>
      </w:pPr>
      <w:r>
        <w:t>Emerging technologies and new industries</w:t>
      </w:r>
    </w:p>
    <w:p>
      <w:r>
        <w:t>Create a controlled pathway for evaluating AI, automation and other relevant technologies against a practical problem. Test benefits, costs and failure modes in a limited setting. Connect successful applications to Innovate Benue enterprise development opportunities without making experimental tools dependencies for essential services.</w:t>
      </w:r>
    </w:p>
    <w:p>
      <w:pPr>
        <w:pStyle w:val="Heading2"/>
      </w:pPr>
      <w:r>
        <w:t>Investment and infrastructure</w:t>
      </w:r>
    </w:p>
    <w:p>
      <w:r>
        <w:t>Connect programme business cases with dependable power, connectivity, equipment and operating finance. Assess site readiness and replacement costs. Assign maintenance responsibility before installation and monitor availability during actual service hours.</w:t>
      </w:r>
    </w:p>
    <w:p>
      <w:pPr>
        <w:pStyle w:val="Heading2"/>
      </w:pPr>
      <w:r>
        <w:t>Partnerships and market access</w:t>
      </w:r>
    </w:p>
    <w:p>
      <w:r>
        <w:t>Use Benue-SPEED to structure prospective collaboration around defined contributions and outcomes. Link participating enterprises and institutions to suitable technical, commercial and financing partners. Track agreements and delivery obligations through the portfolio register.</w:t>
      </w:r>
    </w:p>
    <w:p>
      <w:pPr>
        <w:pStyle w:val="Heading2"/>
      </w:pPr>
      <w:r>
        <w:t>Capacity and change management</w:t>
      </w:r>
    </w:p>
    <w:p>
      <w:r>
        <w:t>Prepare leaders, frontline staff and users for changed workflows. Establish local champions, accessible guidance, help channels and refresher support. Measure successful use of real tasks after training and adapt delivery when participation or confidence remains weak.</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Concept Note and Strategic Framework  •  October 2026</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CIE BENUE STATE  |  SMART BENUE INITIATIVE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200"/>
      <w:contextualSpacing/>
    </w:pPr>
    <w:rPr>
      <w:rFonts w:asciiTheme="majorHAnsi" w:eastAsiaTheme="majorEastAsia" w:hAnsiTheme="majorHAnsi" w:cstheme="majorBidi" w:ascii="Calibri" w:hAnsi="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before="200"/>
    </w:pPr>
    <w:rPr>
      <w:rFonts w:asciiTheme="majorHAnsi" w:eastAsiaTheme="majorEastAsia" w:hAnsiTheme="majorHAnsi" w:cstheme="majorBidi" w:ascii="Calibri" w:hAnsi="Calibri"/>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Benue Initiative Concept Note and Strategic Framework</dc:title>
  <dc:subject>Strategic programme design and website development reference</dc:subject>
  <dc:creator>Center for Innovation and Entrepreneurship Benue State</dc:creator>
  <cp:keywords/>
  <dc:description>generated by python-docx</dc:description>
  <cp:lastModifiedBy/>
  <cp:revision>1</cp:revision>
  <dcterms:created xsi:type="dcterms:W3CDTF">2013-12-23T23:15:00Z</dcterms:created>
  <dcterms:modified xsi:type="dcterms:W3CDTF">2013-12-23T23:15:00Z</dcterms:modified>
  <cp:category/>
</cp:coreProperties>
</file>